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B5" w:rsidRPr="002A00B5" w:rsidRDefault="002A00B5" w:rsidP="000250E7">
      <w:pPr>
        <w:pStyle w:val="rvps7"/>
        <w:shd w:val="clear" w:color="auto" w:fill="FFFFFF"/>
        <w:spacing w:before="187" w:beforeAutospacing="0" w:after="187" w:afterAutospacing="0"/>
        <w:ind w:left="561" w:right="561"/>
        <w:jc w:val="center"/>
        <w:rPr>
          <w:rStyle w:val="rvts15"/>
          <w:b/>
          <w:bCs/>
          <w:color w:val="333333"/>
          <w:sz w:val="28"/>
          <w:szCs w:val="28"/>
          <w:lang w:val="uk-UA"/>
        </w:rPr>
      </w:pPr>
      <w:r>
        <w:rPr>
          <w:rStyle w:val="rvts15"/>
          <w:b/>
          <w:bCs/>
          <w:color w:val="333333"/>
          <w:sz w:val="28"/>
          <w:szCs w:val="28"/>
          <w:lang w:val="uk-UA"/>
        </w:rPr>
        <w:t xml:space="preserve">Рекомендації щодо облаштування </w:t>
      </w:r>
      <w:r w:rsidR="000250E7" w:rsidRPr="00F0748C">
        <w:rPr>
          <w:rStyle w:val="rvts15"/>
          <w:b/>
          <w:bCs/>
          <w:color w:val="333333"/>
          <w:sz w:val="28"/>
          <w:szCs w:val="28"/>
        </w:rPr>
        <w:t>приміщення,</w:t>
      </w:r>
    </w:p>
    <w:p w:rsidR="000250E7" w:rsidRPr="002A00B5" w:rsidRDefault="000250E7" w:rsidP="000250E7">
      <w:pPr>
        <w:pStyle w:val="rvps7"/>
        <w:shd w:val="clear" w:color="auto" w:fill="FFFFFF"/>
        <w:spacing w:before="187" w:beforeAutospacing="0" w:after="187" w:afterAutospacing="0"/>
        <w:ind w:left="561" w:right="561"/>
        <w:jc w:val="center"/>
        <w:rPr>
          <w:color w:val="333333"/>
          <w:sz w:val="28"/>
          <w:szCs w:val="28"/>
          <w:lang w:val="uk-UA"/>
        </w:rPr>
      </w:pPr>
      <w:r w:rsidRPr="00F0748C">
        <w:rPr>
          <w:rStyle w:val="rvts15"/>
          <w:b/>
          <w:bCs/>
          <w:color w:val="333333"/>
          <w:sz w:val="28"/>
          <w:szCs w:val="28"/>
        </w:rPr>
        <w:t xml:space="preserve">в якому розміщується </w:t>
      </w:r>
      <w:r w:rsidR="002A00B5">
        <w:rPr>
          <w:rStyle w:val="rvts15"/>
          <w:b/>
          <w:bCs/>
          <w:color w:val="333333"/>
          <w:sz w:val="28"/>
          <w:szCs w:val="28"/>
          <w:lang w:val="uk-UA"/>
        </w:rPr>
        <w:t>ЦНАП</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0" w:name="n177"/>
      <w:bookmarkEnd w:id="0"/>
      <w:r w:rsidRPr="00F0748C">
        <w:rPr>
          <w:color w:val="333333"/>
          <w:sz w:val="28"/>
          <w:szCs w:val="28"/>
        </w:rPr>
        <w:t>Центр розміщується в центральній частині міста/селища/села або іншому зручному для суб’єктів звернення місці з розвинутою транспортною інфраструктурою.</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 w:name="n276"/>
      <w:bookmarkStart w:id="2" w:name="n178"/>
      <w:bookmarkEnd w:id="1"/>
      <w:bookmarkEnd w:id="2"/>
      <w:r w:rsidRPr="00F0748C">
        <w:rPr>
          <w:color w:val="333333"/>
          <w:sz w:val="28"/>
          <w:szCs w:val="28"/>
        </w:rPr>
        <w:t>На вході до приміщення (будівлі) розміщуються вивіска з позначенням “Центр надання адміністративних послуг” або “Центр Дії”, яке дублюється у тактильному вигляді та шрифтом Брайля. Позначення “Центр надання адміністративних послуг” та “Центр Дії” можуть розміщуватися одночасно.</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3" w:name="n277"/>
      <w:bookmarkStart w:id="4" w:name="n179"/>
      <w:bookmarkEnd w:id="3"/>
      <w:bookmarkEnd w:id="4"/>
      <w:r w:rsidRPr="00F0748C">
        <w:rPr>
          <w:color w:val="333333"/>
          <w:sz w:val="28"/>
          <w:szCs w:val="28"/>
        </w:rPr>
        <w:t>Перед входом до приміщення розміщуються тактильні та контрастні позначки для осіб з інвалідністю з порушеннями зору.</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5" w:name="n278"/>
      <w:bookmarkStart w:id="6" w:name="n180"/>
      <w:bookmarkEnd w:id="5"/>
      <w:bookmarkEnd w:id="6"/>
      <w:r w:rsidRPr="00F0748C">
        <w:rPr>
          <w:color w:val="333333"/>
          <w:sz w:val="28"/>
          <w:szCs w:val="28"/>
        </w:rPr>
        <w:t>Вхід до приміщень центру, який має сходи, повинен бути облаштований кнопкою виклику,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7" w:name="n279"/>
      <w:bookmarkStart w:id="8" w:name="n281"/>
      <w:bookmarkEnd w:id="7"/>
      <w:bookmarkEnd w:id="8"/>
      <w:r w:rsidRPr="00F0748C">
        <w:rPr>
          <w:color w:val="333333"/>
          <w:sz w:val="28"/>
          <w:szCs w:val="28"/>
        </w:rPr>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9" w:name="n280"/>
      <w:bookmarkStart w:id="10" w:name="n372"/>
      <w:bookmarkEnd w:id="9"/>
      <w:bookmarkEnd w:id="10"/>
      <w:r w:rsidRPr="00F0748C">
        <w:rPr>
          <w:color w:val="333333"/>
          <w:sz w:val="28"/>
          <w:szCs w:val="28"/>
        </w:rPr>
        <w:t>Облаштування центру позначенням “Центр Дії”, навігаційними табличками (табличками, які використовуються для орієнтування у центрі), піктограмами здійснюється за зразками згідно з </w:t>
      </w:r>
      <w:hyperlink r:id="rId4" w:anchor="n455" w:history="1">
        <w:r w:rsidRPr="00F0748C">
          <w:rPr>
            <w:rStyle w:val="a3"/>
            <w:color w:val="006600"/>
            <w:sz w:val="28"/>
            <w:szCs w:val="28"/>
          </w:rPr>
          <w:t>додатками 1-4</w:t>
        </w:r>
      </w:hyperlink>
      <w:r w:rsidRPr="00F0748C">
        <w:rPr>
          <w:color w:val="333333"/>
          <w:sz w:val="28"/>
          <w:szCs w:val="28"/>
        </w:rPr>
        <w:t>.</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1" w:name="n380"/>
      <w:bookmarkStart w:id="12" w:name="n373"/>
      <w:bookmarkEnd w:id="11"/>
      <w:bookmarkEnd w:id="12"/>
      <w:r w:rsidRPr="00F0748C">
        <w:rPr>
          <w:color w:val="333333"/>
          <w:sz w:val="28"/>
          <w:szCs w:val="28"/>
        </w:rPr>
        <w:t>Для оздоблення стін рекомендоване використання кольорів згідно з </w:t>
      </w:r>
      <w:hyperlink r:id="rId5" w:anchor="n501" w:history="1">
        <w:r w:rsidRPr="00F0748C">
          <w:rPr>
            <w:rStyle w:val="a3"/>
            <w:color w:val="006600"/>
            <w:sz w:val="28"/>
            <w:szCs w:val="28"/>
          </w:rPr>
          <w:t>додатком 5</w:t>
        </w:r>
      </w:hyperlink>
      <w:r w:rsidRPr="00F0748C">
        <w:rPr>
          <w:color w:val="333333"/>
          <w:sz w:val="28"/>
          <w:szCs w:val="28"/>
        </w:rPr>
        <w:t>.</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3" w:name="n381"/>
      <w:bookmarkStart w:id="14" w:name="n374"/>
      <w:bookmarkEnd w:id="13"/>
      <w:bookmarkEnd w:id="14"/>
      <w:r w:rsidRPr="00F0748C">
        <w:rPr>
          <w:color w:val="333333"/>
          <w:sz w:val="28"/>
          <w:szCs w:val="28"/>
        </w:rPr>
        <w:t>У кольорі чи елементах меблів рекомендованим є використання хоча б одного з кольорів, яким оздоблено стіни центру.</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5" w:name="n382"/>
      <w:bookmarkStart w:id="16" w:name="n375"/>
      <w:bookmarkEnd w:id="15"/>
      <w:bookmarkEnd w:id="16"/>
      <w:r w:rsidRPr="00F0748C">
        <w:rPr>
          <w:color w:val="333333"/>
          <w:sz w:val="28"/>
          <w:szCs w:val="28"/>
        </w:rPr>
        <w:t>Облаштування центру здійснюється з дотриманням вимог щодо інклюзивності будівель і споруд, передбачених Державними будівельними нормами ДБН В.2.2-40:2018 “Будинки і споруди. Інклюзивність будівель і споруд. Основні положення” стосовно їх доступності для осіб з інвалідністю та інших маломобільних груп населення.</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7" w:name="n383"/>
      <w:bookmarkStart w:id="18" w:name="n181"/>
      <w:bookmarkEnd w:id="17"/>
      <w:bookmarkEnd w:id="18"/>
      <w:r w:rsidRPr="00F0748C">
        <w:rPr>
          <w:color w:val="333333"/>
          <w:sz w:val="28"/>
          <w:szCs w:val="28"/>
        </w:rPr>
        <w:t>На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6" w:tgtFrame="_blank" w:history="1">
        <w:r w:rsidRPr="00F0748C">
          <w:rPr>
            <w:rStyle w:val="a3"/>
            <w:color w:val="000099"/>
            <w:sz w:val="28"/>
            <w:szCs w:val="28"/>
          </w:rPr>
          <w:t>Законом України</w:t>
        </w:r>
      </w:hyperlink>
      <w:r w:rsidRPr="00F0748C">
        <w:rPr>
          <w:color w:val="333333"/>
          <w:sz w:val="28"/>
          <w:szCs w:val="28"/>
        </w:rPr>
        <w:t xml:space="preserve">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w:t>
      </w:r>
      <w:r w:rsidRPr="00F0748C">
        <w:rPr>
          <w:color w:val="333333"/>
          <w:sz w:val="28"/>
          <w:szCs w:val="28"/>
        </w:rPr>
        <w:lastRenderedPageBreak/>
        <w:t>вулицях розміщуються інформаційні таблички, на яких зазначається місце розташування центру.</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9" w:name="n326"/>
      <w:bookmarkStart w:id="20" w:name="n182"/>
      <w:bookmarkEnd w:id="19"/>
      <w:bookmarkEnd w:id="20"/>
      <w:r w:rsidRPr="00F0748C">
        <w:rPr>
          <w:color w:val="333333"/>
          <w:sz w:val="28"/>
          <w:szCs w:val="28"/>
        </w:rPr>
        <w:t>Приміщення центру поділяється на відкриту та закриту частини.</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21" w:name="n183"/>
      <w:bookmarkEnd w:id="21"/>
      <w:r w:rsidRPr="00F0748C">
        <w:rPr>
          <w:color w:val="333333"/>
          <w:sz w:val="28"/>
          <w:szCs w:val="28"/>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22" w:name="n184"/>
      <w:bookmarkEnd w:id="22"/>
      <w:r w:rsidRPr="00F0748C">
        <w:rPr>
          <w:color w:val="333333"/>
          <w:sz w:val="28"/>
          <w:szCs w:val="28"/>
        </w:rPr>
        <w:t>Відкрита частина включає:</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23" w:name="n185"/>
      <w:bookmarkEnd w:id="23"/>
      <w:r w:rsidRPr="00F0748C">
        <w:rPr>
          <w:color w:val="333333"/>
          <w:sz w:val="28"/>
          <w:szCs w:val="28"/>
        </w:rPr>
        <w:t>сектор прийому;</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24" w:name="n186"/>
      <w:bookmarkEnd w:id="24"/>
      <w:r w:rsidRPr="00F0748C">
        <w:rPr>
          <w:color w:val="333333"/>
          <w:sz w:val="28"/>
          <w:szCs w:val="28"/>
        </w:rPr>
        <w:t>сектор інформування;</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25" w:name="n187"/>
      <w:bookmarkEnd w:id="25"/>
      <w:r w:rsidRPr="00F0748C">
        <w:rPr>
          <w:color w:val="333333"/>
          <w:sz w:val="28"/>
          <w:szCs w:val="28"/>
        </w:rPr>
        <w:t>сектор очікування;</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26" w:name="n188"/>
      <w:bookmarkEnd w:id="26"/>
      <w:r w:rsidRPr="00F0748C">
        <w:rPr>
          <w:color w:val="333333"/>
          <w:sz w:val="28"/>
          <w:szCs w:val="28"/>
        </w:rPr>
        <w:t>сектор обслуговування.</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27" w:name="n189"/>
      <w:bookmarkEnd w:id="27"/>
      <w:r w:rsidRPr="00F0748C">
        <w:rPr>
          <w:color w:val="333333"/>
          <w:sz w:val="28"/>
          <w:szCs w:val="28"/>
        </w:rPr>
        <w:t>Відкрита частина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приміщень будівлі.</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28" w:name="n327"/>
      <w:bookmarkStart w:id="29" w:name="n190"/>
      <w:bookmarkEnd w:id="28"/>
      <w:bookmarkEnd w:id="29"/>
      <w:r w:rsidRPr="00F0748C">
        <w:rPr>
          <w:color w:val="333333"/>
          <w:sz w:val="28"/>
          <w:szCs w:val="28"/>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30" w:name="n282"/>
      <w:bookmarkStart w:id="31" w:name="n191"/>
      <w:bookmarkEnd w:id="30"/>
      <w:bookmarkEnd w:id="31"/>
      <w:r w:rsidRPr="00F0748C">
        <w:rPr>
          <w:color w:val="333333"/>
          <w:sz w:val="28"/>
          <w:szCs w:val="28"/>
        </w:rPr>
        <w:t>Вхід до закритої частини центру суб’єктам звернення забороняється.</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32" w:name="n192"/>
      <w:bookmarkEnd w:id="32"/>
      <w:r w:rsidRPr="00F0748C">
        <w:rPr>
          <w:color w:val="333333"/>
          <w:sz w:val="28"/>
          <w:szCs w:val="28"/>
        </w:rPr>
        <w:t>Закрита частина може розміщуватися на інших поверхах, ніж відкрита частина.</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33" w:name="n193"/>
      <w:bookmarkEnd w:id="33"/>
      <w:r w:rsidRPr="00F0748C">
        <w:rPr>
          <w:color w:val="333333"/>
          <w:sz w:val="28"/>
          <w:szCs w:val="28"/>
        </w:rPr>
        <w:t>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34" w:name="n194"/>
      <w:bookmarkEnd w:id="34"/>
      <w:r w:rsidRPr="00F0748C">
        <w:rPr>
          <w:color w:val="333333"/>
          <w:sz w:val="28"/>
          <w:szCs w:val="28"/>
        </w:rPr>
        <w:t>Сектор інформування облаштовується з метою ознайомлення суб’єктів звернення з порядком та умовами надання адміністративних послуг.</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35" w:name="n195"/>
      <w:bookmarkEnd w:id="35"/>
      <w:r w:rsidRPr="00F0748C">
        <w:rPr>
          <w:color w:val="333333"/>
          <w:sz w:val="28"/>
          <w:szCs w:val="28"/>
        </w:rPr>
        <w:t>У секторі інформування розміщуються інформаційні стенди, постери (плакати)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(“Дія. Бізнес”) (у разі проведення такого консультування в приміщеннях центру), інформацію щодо здійснення прийому суб’єктів звернення з надання безоплатної правової допомоги (у разі проведення такого прийому в приміщеннях центру),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36" w:name="n328"/>
      <w:bookmarkStart w:id="37" w:name="n196"/>
      <w:bookmarkEnd w:id="36"/>
      <w:bookmarkEnd w:id="37"/>
      <w:r w:rsidRPr="00F0748C">
        <w:rPr>
          <w:color w:val="333333"/>
          <w:sz w:val="28"/>
          <w:szCs w:val="28"/>
        </w:rPr>
        <w:lastRenderedPageBreak/>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38" w:name="n329"/>
      <w:bookmarkStart w:id="39" w:name="n284"/>
      <w:bookmarkEnd w:id="38"/>
      <w:bookmarkEnd w:id="39"/>
      <w:r w:rsidRPr="00F0748C">
        <w:rPr>
          <w:color w:val="333333"/>
          <w:sz w:val="28"/>
          <w:szCs w:val="28"/>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(у тому числі пересувне)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40" w:name="n283"/>
      <w:bookmarkStart w:id="41" w:name="n384"/>
      <w:bookmarkEnd w:id="40"/>
      <w:bookmarkEnd w:id="41"/>
      <w:r w:rsidRPr="00F0748C">
        <w:rPr>
          <w:color w:val="333333"/>
          <w:sz w:val="28"/>
          <w:szCs w:val="28"/>
        </w:rPr>
        <w:t>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у терміналах, інших технічних засобах, а також на відповідних веб-сайтах. Зазначена інформація розміщується окремо в секторах прийому, інформування, очікування та обслуговування.</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42" w:name="n385"/>
      <w:bookmarkStart w:id="43" w:name="n197"/>
      <w:bookmarkEnd w:id="42"/>
      <w:bookmarkEnd w:id="43"/>
      <w:r w:rsidRPr="00F0748C">
        <w:rPr>
          <w:color w:val="333333"/>
          <w:sz w:val="28"/>
          <w:szCs w:val="28"/>
        </w:rPr>
        <w:t>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44" w:name="n285"/>
      <w:bookmarkStart w:id="45" w:name="n287"/>
      <w:bookmarkEnd w:id="44"/>
      <w:bookmarkEnd w:id="45"/>
      <w:r w:rsidRPr="00F0748C">
        <w:rPr>
          <w:color w:val="333333"/>
          <w:sz w:val="28"/>
          <w:szCs w:val="28"/>
        </w:rPr>
        <w:t>У секторі очікування облаштовуються місця для суб’єктів звернень в центрах, утворених на території міських, селищних, сільських територіальних громад. Їх рекомендована кількість:</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46" w:name="n293"/>
      <w:bookmarkStart w:id="47" w:name="n288"/>
      <w:bookmarkEnd w:id="46"/>
      <w:bookmarkEnd w:id="47"/>
      <w:r w:rsidRPr="00F0748C">
        <w:rPr>
          <w:color w:val="333333"/>
          <w:sz w:val="28"/>
          <w:szCs w:val="28"/>
        </w:rPr>
        <w:t>до 5 тис. осіб, - не менш як три місця;</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48" w:name="n292"/>
      <w:bookmarkStart w:id="49" w:name="n289"/>
      <w:bookmarkEnd w:id="48"/>
      <w:bookmarkEnd w:id="49"/>
      <w:r w:rsidRPr="00F0748C">
        <w:rPr>
          <w:color w:val="333333"/>
          <w:sz w:val="28"/>
          <w:szCs w:val="28"/>
        </w:rPr>
        <w:t>від 5 до 10 тис. осіб, - не менш як п’ять місць;</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50" w:name="n291"/>
      <w:bookmarkStart w:id="51" w:name="n290"/>
      <w:bookmarkEnd w:id="50"/>
      <w:bookmarkEnd w:id="51"/>
      <w:r w:rsidRPr="00F0748C">
        <w:rPr>
          <w:color w:val="333333"/>
          <w:sz w:val="28"/>
          <w:szCs w:val="28"/>
        </w:rPr>
        <w:t>від 10 до 20 тис. осіб, - не менш як 10 місць;</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52" w:name="n286"/>
      <w:bookmarkStart w:id="53" w:name="n386"/>
      <w:bookmarkEnd w:id="52"/>
      <w:bookmarkEnd w:id="53"/>
      <w:r w:rsidRPr="00F0748C">
        <w:rPr>
          <w:color w:val="333333"/>
          <w:sz w:val="28"/>
          <w:szCs w:val="28"/>
        </w:rPr>
        <w:t>від 20 до 50 тис. осіб, - не менш як 15 місць;</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54" w:name="n389"/>
      <w:bookmarkStart w:id="55" w:name="n387"/>
      <w:bookmarkEnd w:id="54"/>
      <w:bookmarkEnd w:id="55"/>
      <w:r w:rsidRPr="00F0748C">
        <w:rPr>
          <w:color w:val="333333"/>
          <w:sz w:val="28"/>
          <w:szCs w:val="28"/>
        </w:rPr>
        <w:t>від 50 до 100 тис. осіб, - не менш як 20 місць;</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56" w:name="n390"/>
      <w:bookmarkStart w:id="57" w:name="n388"/>
      <w:bookmarkEnd w:id="56"/>
      <w:bookmarkEnd w:id="57"/>
      <w:r w:rsidRPr="00F0748C">
        <w:rPr>
          <w:color w:val="333333"/>
          <w:sz w:val="28"/>
          <w:szCs w:val="28"/>
        </w:rPr>
        <w:t>більш як 100 тис. осіб, - не менш як 30 місць.</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58" w:name="n391"/>
      <w:bookmarkStart w:id="59" w:name="n198"/>
      <w:bookmarkEnd w:id="58"/>
      <w:bookmarkEnd w:id="59"/>
      <w:r w:rsidRPr="00F0748C">
        <w:rPr>
          <w:color w:val="333333"/>
          <w:sz w:val="28"/>
          <w:szCs w:val="28"/>
        </w:rPr>
        <w:t>Сектор очікування у разі потреби обладнується автоматизованою системою керування чергою, системою звукового інформування осіб похилого віку та осіб з інвалідністю з порушеннями зору.</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60" w:name="n294"/>
      <w:bookmarkStart w:id="61" w:name="n296"/>
      <w:bookmarkEnd w:id="60"/>
      <w:bookmarkEnd w:id="61"/>
      <w:r w:rsidRPr="00F0748C">
        <w:rPr>
          <w:color w:val="333333"/>
          <w:sz w:val="28"/>
          <w:szCs w:val="28"/>
        </w:rPr>
        <w:t>У приміщеннях центру, його територіальних підрозділів, у приміщеннях, де розміщені віддалені робочі місця адміністраторів, та на пересувних віддалених робочих місцях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62" w:name="n295"/>
      <w:bookmarkStart w:id="63" w:name="n199"/>
      <w:bookmarkEnd w:id="62"/>
      <w:bookmarkEnd w:id="63"/>
      <w:r w:rsidRPr="00F0748C">
        <w:rPr>
          <w:color w:val="333333"/>
          <w:sz w:val="28"/>
          <w:szCs w:val="28"/>
        </w:rPr>
        <w:lastRenderedPageBreak/>
        <w:t>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64" w:name="n297"/>
      <w:bookmarkStart w:id="65" w:name="n200"/>
      <w:bookmarkEnd w:id="64"/>
      <w:bookmarkEnd w:id="65"/>
      <w:r w:rsidRPr="00F0748C">
        <w:rPr>
          <w:color w:val="333333"/>
          <w:sz w:val="28"/>
          <w:szCs w:val="28"/>
        </w:rPr>
        <w:t>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а також площа пересувного віддаленого робочого місця адміністратора “Мобільний центр” повинна бути достатньою для забезпечення зручних та комфортних умов для прийому суб’єктів звернення і роботи адміністраторів центру.</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66" w:name="n392"/>
      <w:bookmarkEnd w:id="66"/>
      <w:r w:rsidRPr="00F0748C">
        <w:rPr>
          <w:color w:val="333333"/>
          <w:sz w:val="28"/>
          <w:szCs w:val="28"/>
        </w:rPr>
        <w:t>Рекомендована площа секторів очікування та обслуговування становить для центрів, утворених на території міських, селищних, сільських територіальних громад з населенням:</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67" w:name="n393"/>
      <w:bookmarkEnd w:id="67"/>
      <w:r w:rsidRPr="00F0748C">
        <w:rPr>
          <w:color w:val="333333"/>
          <w:sz w:val="28"/>
          <w:szCs w:val="28"/>
        </w:rPr>
        <w:t>до 10 тис. осіб, - не менш як 30 кв. метрів;</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68" w:name="n394"/>
      <w:bookmarkEnd w:id="68"/>
      <w:r w:rsidRPr="00F0748C">
        <w:rPr>
          <w:color w:val="333333"/>
          <w:sz w:val="28"/>
          <w:szCs w:val="28"/>
        </w:rPr>
        <w:t>від 10 до 50 тис. осіб, - не менш як 50 кв. метрів;</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69" w:name="n395"/>
      <w:bookmarkEnd w:id="69"/>
      <w:r w:rsidRPr="00F0748C">
        <w:rPr>
          <w:color w:val="333333"/>
          <w:sz w:val="28"/>
          <w:szCs w:val="28"/>
        </w:rPr>
        <w:t>від 50 до 100 тис. осіб, - не менш як 70 кв. метрів;</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70" w:name="n396"/>
      <w:bookmarkEnd w:id="70"/>
      <w:r w:rsidRPr="00F0748C">
        <w:rPr>
          <w:color w:val="333333"/>
          <w:sz w:val="28"/>
          <w:szCs w:val="28"/>
        </w:rPr>
        <w:t>більш як 100 тис. осіб, - не менш як 100 кв. метрів.</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71" w:name="n397"/>
      <w:bookmarkStart w:id="72" w:name="n205"/>
      <w:bookmarkEnd w:id="71"/>
      <w:bookmarkEnd w:id="72"/>
      <w:r w:rsidRPr="00F0748C">
        <w:rPr>
          <w:color w:val="333333"/>
          <w:sz w:val="28"/>
          <w:szCs w:val="28"/>
        </w:rPr>
        <w:t>На інформаційних стендах або інформаційних терміналах розміщується інформація, зокрема, про:</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73" w:name="n331"/>
      <w:bookmarkStart w:id="74" w:name="n206"/>
      <w:bookmarkEnd w:id="73"/>
      <w:bookmarkEnd w:id="74"/>
      <w:r w:rsidRPr="00F0748C">
        <w:rPr>
          <w:color w:val="333333"/>
          <w:sz w:val="28"/>
          <w:szCs w:val="28"/>
        </w:rPr>
        <w:t>найменування центру, його місцезнаходження та місцезнаходження його територіальних підрозділів, віддалених робочих місць адміністраторів, місця розташування майданчиків, на яких працюють пересувні віддалені робочі місця адміністратора “Мобільний центр” (в разі їх утворення), номери телефонів для довідок, факсу, адресу веб-сайту, електронної пошти;</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75" w:name="n302"/>
      <w:bookmarkStart w:id="76" w:name="n207"/>
      <w:bookmarkEnd w:id="75"/>
      <w:bookmarkEnd w:id="76"/>
      <w:r w:rsidRPr="00F0748C">
        <w:rPr>
          <w:color w:val="333333"/>
          <w:sz w:val="28"/>
          <w:szCs w:val="28"/>
        </w:rPr>
        <w:t>графік роботи центру, його територіальних підрозділів, віддалених (у тому числі пересувних) робочих місць адміністраторів (в разі їх утворення) (прийомні дні та години, вихідні дні), який затверджується органом, що утворив центр, з урахуванням потреб суб’єктів звернення та відповідно до вимог </w:t>
      </w:r>
      <w:hyperlink r:id="rId7" w:tgtFrame="_blank" w:history="1">
        <w:r w:rsidRPr="00F0748C">
          <w:rPr>
            <w:rStyle w:val="a3"/>
            <w:color w:val="000099"/>
            <w:sz w:val="28"/>
            <w:szCs w:val="28"/>
          </w:rPr>
          <w:t>Закону України</w:t>
        </w:r>
      </w:hyperlink>
      <w:r w:rsidRPr="00F0748C">
        <w:rPr>
          <w:color w:val="333333"/>
          <w:sz w:val="28"/>
          <w:szCs w:val="28"/>
        </w:rPr>
        <w:t> “Про адміністративні послуги”;</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77" w:name="n303"/>
      <w:bookmarkStart w:id="78" w:name="n208"/>
      <w:bookmarkEnd w:id="77"/>
      <w:bookmarkEnd w:id="78"/>
      <w:r w:rsidRPr="00F0748C">
        <w:rPr>
          <w:color w:val="333333"/>
          <w:sz w:val="28"/>
          <w:szCs w:val="28"/>
        </w:rPr>
        <w:t>перелік адміністративних послуг, які надаються через центр, його територіальні підрозділи, віддалені (у тому числі пересувні) робочі місця адміністраторів (в разі їх утворення), та відповідні інформаційні картки адміністративних послуг;</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79" w:name="n304"/>
      <w:bookmarkStart w:id="80" w:name="n209"/>
      <w:bookmarkEnd w:id="79"/>
      <w:bookmarkEnd w:id="80"/>
      <w:r w:rsidRPr="00F0748C">
        <w:rPr>
          <w:color w:val="333333"/>
          <w:sz w:val="28"/>
          <w:szCs w:val="28"/>
        </w:rPr>
        <w:t>строки надання адміністративних послуг;</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1" w:name="n210"/>
      <w:bookmarkEnd w:id="81"/>
      <w:r w:rsidRPr="00F0748C">
        <w:rPr>
          <w:color w:val="333333"/>
          <w:sz w:val="28"/>
          <w:szCs w:val="28"/>
        </w:rPr>
        <w:t>бланки заяв та інших документів, необхідних для звернення за отриманням адміністративних послуг, а також зразки їх заповнення;</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2" w:name="n211"/>
      <w:bookmarkEnd w:id="82"/>
      <w:r w:rsidRPr="00F0748C">
        <w:rPr>
          <w:color w:val="333333"/>
          <w:sz w:val="28"/>
          <w:szCs w:val="28"/>
        </w:rPr>
        <w:lastRenderedPageBreak/>
        <w:t>платіжні реквізити для оплати платних адміністративних послуг;</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3" w:name="n212"/>
      <w:bookmarkEnd w:id="83"/>
      <w:r w:rsidRPr="00F0748C">
        <w:rPr>
          <w:color w:val="333333"/>
          <w:sz w:val="28"/>
          <w:szCs w:val="28"/>
        </w:rPr>
        <w:t>супутні послуги, які надаються в приміщенні центру;</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4" w:name="n213"/>
      <w:bookmarkEnd w:id="84"/>
      <w:r w:rsidRPr="00F0748C">
        <w:rPr>
          <w:color w:val="333333"/>
          <w:sz w:val="28"/>
          <w:szCs w:val="28"/>
        </w:rPr>
        <w:t>прізвище, ім’я, по батькові керівника центру, контактні телефони, адресу електронної пошти;</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5" w:name="n214"/>
      <w:bookmarkEnd w:id="85"/>
      <w:r w:rsidRPr="00F0748C">
        <w:rPr>
          <w:color w:val="333333"/>
          <w:sz w:val="28"/>
          <w:szCs w:val="28"/>
        </w:rPr>
        <w:t>користування інформаційними терміналами (у разі їх наявності);</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6" w:name="n215"/>
      <w:bookmarkEnd w:id="86"/>
      <w:r w:rsidRPr="00F0748C">
        <w:rPr>
          <w:color w:val="333333"/>
          <w:sz w:val="28"/>
          <w:szCs w:val="28"/>
        </w:rPr>
        <w:t>користування автоматизованою системою керування чергою (у разі її наявності);</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7" w:name="n216"/>
      <w:bookmarkEnd w:id="87"/>
      <w:r w:rsidRPr="00F0748C">
        <w:rPr>
          <w:color w:val="333333"/>
          <w:sz w:val="28"/>
          <w:szCs w:val="28"/>
        </w:rPr>
        <w:t>положення про центр;</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8" w:name="n217"/>
      <w:bookmarkEnd w:id="88"/>
      <w:r w:rsidRPr="00F0748C">
        <w:rPr>
          <w:color w:val="333333"/>
          <w:sz w:val="28"/>
          <w:szCs w:val="28"/>
        </w:rPr>
        <w:t>регламент центру;</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89" w:name="n332"/>
      <w:bookmarkEnd w:id="89"/>
      <w:r w:rsidRPr="00F0748C">
        <w:rPr>
          <w:color w:val="333333"/>
          <w:sz w:val="28"/>
          <w:szCs w:val="28"/>
        </w:rPr>
        <w:t>графік прийому суб’єктів звернення посадовими особами органу, що утворив центр, сільським, селищним, міським головою, керівником військово-цивільної адміністрації населеного пункту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 або на пересувних віддалених робочих місцях адміністраторів);</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90" w:name="n333"/>
      <w:bookmarkStart w:id="91" w:name="n398"/>
      <w:bookmarkEnd w:id="90"/>
      <w:bookmarkEnd w:id="91"/>
      <w:r w:rsidRPr="00F0748C">
        <w:rPr>
          <w:color w:val="333333"/>
          <w:sz w:val="28"/>
          <w:szCs w:val="28"/>
        </w:rPr>
        <w:t>графік надання консультацій, прийому суб’єктів звернень суб’єктами, які забезпечують консультування та прийом у приміщеннях центру;</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92" w:name="n401"/>
      <w:bookmarkStart w:id="93" w:name="n399"/>
      <w:bookmarkEnd w:id="92"/>
      <w:bookmarkEnd w:id="93"/>
      <w:r w:rsidRPr="00F0748C">
        <w:rPr>
          <w:color w:val="333333"/>
          <w:sz w:val="28"/>
          <w:szCs w:val="28"/>
        </w:rPr>
        <w:t>інформацію щодо можливостей отримання послуг он-лайн в електронному вигляді;</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rPr>
      </w:pPr>
      <w:bookmarkStart w:id="94" w:name="n402"/>
      <w:bookmarkStart w:id="95" w:name="n400"/>
      <w:bookmarkEnd w:id="94"/>
      <w:bookmarkEnd w:id="95"/>
      <w:r w:rsidRPr="00F0748C">
        <w:rPr>
          <w:color w:val="333333"/>
          <w:sz w:val="28"/>
          <w:szCs w:val="28"/>
        </w:rPr>
        <w:t>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96" w:name="n403"/>
      <w:bookmarkStart w:id="97" w:name="n218"/>
      <w:bookmarkEnd w:id="96"/>
      <w:bookmarkEnd w:id="97"/>
      <w:r w:rsidRPr="00F0748C">
        <w:rPr>
          <w:color w:val="333333"/>
          <w:sz w:val="28"/>
          <w:szCs w:val="28"/>
        </w:rPr>
        <w:t>Перелік адміністративних послуг, які надаються через центр, його територіальні підрозділи, віддалені (у тому числі пересувні)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98" w:name="n404"/>
      <w:bookmarkStart w:id="99" w:name="n336"/>
      <w:bookmarkEnd w:id="98"/>
      <w:bookmarkEnd w:id="99"/>
      <w:r w:rsidRPr="00F0748C">
        <w:rPr>
          <w:color w:val="333333"/>
          <w:sz w:val="28"/>
          <w:szCs w:val="28"/>
        </w:rPr>
        <w:t>Перелік адміністративних послуг, які надаються через територіальні підрозділи центру, віддалені (у тому числі пересувні) робочі місця адміністраторів (у разі їх утворення), затверджується органом, що утворив центр, з урахуванням потреб суб’єктів звернення.</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00" w:name="n334"/>
      <w:bookmarkStart w:id="101" w:name="n219"/>
      <w:bookmarkEnd w:id="100"/>
      <w:bookmarkEnd w:id="101"/>
      <w:r w:rsidRPr="00F0748C">
        <w:rPr>
          <w:color w:val="333333"/>
          <w:sz w:val="28"/>
          <w:szCs w:val="28"/>
        </w:rPr>
        <w:t>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центру (веб-сайті органу, що утворив центр).</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02" w:name="n337"/>
      <w:bookmarkStart w:id="103" w:name="n220"/>
      <w:bookmarkEnd w:id="102"/>
      <w:bookmarkEnd w:id="103"/>
      <w:r w:rsidRPr="00F0748C">
        <w:rPr>
          <w:color w:val="333333"/>
          <w:sz w:val="28"/>
          <w:szCs w:val="28"/>
        </w:rPr>
        <w:lastRenderedPageBreak/>
        <w:t>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rsidR="000250E7" w:rsidRPr="00F0748C" w:rsidRDefault="000250E7" w:rsidP="000250E7">
      <w:pPr>
        <w:pStyle w:val="rvps2"/>
        <w:shd w:val="clear" w:color="auto" w:fill="FFFFFF"/>
        <w:spacing w:before="0" w:beforeAutospacing="0" w:after="187" w:afterAutospacing="0"/>
        <w:jc w:val="both"/>
        <w:rPr>
          <w:color w:val="333333"/>
          <w:sz w:val="28"/>
          <w:szCs w:val="28"/>
        </w:rPr>
      </w:pPr>
      <w:bookmarkStart w:id="104" w:name="n339"/>
      <w:bookmarkEnd w:id="104"/>
      <w:r w:rsidRPr="00F0748C">
        <w:rPr>
          <w:color w:val="333333"/>
          <w:sz w:val="28"/>
          <w:szCs w:val="28"/>
        </w:rPr>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rsidR="000250E7" w:rsidRPr="00F0748C" w:rsidRDefault="000250E7" w:rsidP="000250E7">
      <w:pPr>
        <w:pStyle w:val="rvps2"/>
        <w:shd w:val="clear" w:color="auto" w:fill="FFFFFF"/>
        <w:spacing w:before="0" w:beforeAutospacing="0" w:after="187" w:afterAutospacing="0"/>
        <w:ind w:firstLine="561"/>
        <w:jc w:val="both"/>
        <w:rPr>
          <w:color w:val="333333"/>
          <w:sz w:val="28"/>
          <w:szCs w:val="28"/>
          <w:lang w:val="uk-UA"/>
        </w:rPr>
      </w:pPr>
      <w:bookmarkStart w:id="105" w:name="n338"/>
      <w:bookmarkStart w:id="106" w:name="n221"/>
      <w:bookmarkEnd w:id="105"/>
      <w:bookmarkEnd w:id="106"/>
      <w:r w:rsidRPr="00F0748C">
        <w:rPr>
          <w:color w:val="333333"/>
          <w:sz w:val="28"/>
          <w:szCs w:val="28"/>
        </w:rPr>
        <w:t>У разі надання адміністративних послуг через центр консультації з питань надання таких послуг проводяться (у тому числі представниками суб’єктів надання адміністративних послуг) виключно у центрі, його територіальних підрозділах, на віддалених робочих місцях адміністраторів.</w:t>
      </w:r>
    </w:p>
    <w:p w:rsidR="00F85994" w:rsidRPr="00F0748C" w:rsidRDefault="00F85994" w:rsidP="00F85994">
      <w:pPr>
        <w:pStyle w:val="rvps2"/>
        <w:shd w:val="clear" w:color="auto" w:fill="FFFFFF"/>
        <w:spacing w:before="0" w:beforeAutospacing="0" w:after="187" w:afterAutospacing="0"/>
        <w:ind w:left="4678"/>
        <w:jc w:val="both"/>
        <w:rPr>
          <w:color w:val="333333"/>
          <w:sz w:val="28"/>
          <w:szCs w:val="28"/>
          <w:lang w:val="uk-UA"/>
        </w:rPr>
      </w:pPr>
      <w:r w:rsidRPr="00F0748C">
        <w:rPr>
          <w:rStyle w:val="rvts23"/>
          <w:bCs/>
          <w:color w:val="333333"/>
          <w:sz w:val="28"/>
          <w:szCs w:val="28"/>
          <w:shd w:val="clear" w:color="auto" w:fill="FFFFFF"/>
        </w:rPr>
        <w:t>ПРИМІРНИЙ РЕГЛАМЕНТ</w:t>
      </w:r>
      <w:r w:rsidRPr="00F0748C">
        <w:rPr>
          <w:rStyle w:val="rvts23"/>
          <w:bCs/>
          <w:color w:val="333333"/>
          <w:sz w:val="28"/>
          <w:szCs w:val="28"/>
          <w:shd w:val="clear" w:color="auto" w:fill="FFFFFF"/>
          <w:lang w:val="uk-UA"/>
        </w:rPr>
        <w:t xml:space="preserve"> </w:t>
      </w:r>
      <w:r w:rsidRPr="00F0748C">
        <w:rPr>
          <w:rStyle w:val="rvts23"/>
          <w:bCs/>
          <w:color w:val="333333"/>
          <w:sz w:val="28"/>
          <w:szCs w:val="28"/>
          <w:shd w:val="clear" w:color="auto" w:fill="FFFFFF"/>
        </w:rPr>
        <w:t>центру надання адміністративних послуг</w:t>
      </w:r>
      <w:r w:rsidRPr="00F0748C">
        <w:rPr>
          <w:rStyle w:val="rvts23"/>
          <w:bCs/>
          <w:color w:val="333333"/>
          <w:sz w:val="28"/>
          <w:szCs w:val="28"/>
          <w:shd w:val="clear" w:color="auto" w:fill="FFFFFF"/>
          <w:lang w:val="uk-UA"/>
        </w:rPr>
        <w:t xml:space="preserve">, затверджено </w:t>
      </w:r>
      <w:r w:rsidRPr="00F0748C">
        <w:rPr>
          <w:rStyle w:val="rvts9"/>
          <w:bCs/>
          <w:color w:val="333333"/>
          <w:sz w:val="28"/>
          <w:szCs w:val="28"/>
          <w:shd w:val="clear" w:color="auto" w:fill="FFFFFF"/>
        </w:rPr>
        <w:t>постановою Кабінету Міністрів України</w:t>
      </w:r>
      <w:r w:rsidRPr="00F0748C">
        <w:rPr>
          <w:rStyle w:val="rvts9"/>
          <w:bCs/>
          <w:color w:val="333333"/>
          <w:sz w:val="28"/>
          <w:szCs w:val="28"/>
          <w:shd w:val="clear" w:color="auto" w:fill="FFFFFF"/>
          <w:lang w:val="uk-UA"/>
        </w:rPr>
        <w:t xml:space="preserve"> </w:t>
      </w:r>
      <w:r w:rsidRPr="00F0748C">
        <w:rPr>
          <w:rStyle w:val="rvts9"/>
          <w:bCs/>
          <w:color w:val="333333"/>
          <w:sz w:val="28"/>
          <w:szCs w:val="28"/>
          <w:shd w:val="clear" w:color="auto" w:fill="FFFFFF"/>
        </w:rPr>
        <w:t>від 1 серпня 2013 р. № 588</w:t>
      </w:r>
    </w:p>
    <w:sectPr w:rsidR="00F85994" w:rsidRPr="00F0748C" w:rsidSect="00F0748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0250E7"/>
    <w:rsid w:val="000250E7"/>
    <w:rsid w:val="0005015A"/>
    <w:rsid w:val="002A00B5"/>
    <w:rsid w:val="00310D8F"/>
    <w:rsid w:val="00F0748C"/>
    <w:rsid w:val="00F85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250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250E7"/>
  </w:style>
  <w:style w:type="paragraph" w:customStyle="1" w:styleId="rvps2">
    <w:name w:val="rvps2"/>
    <w:basedOn w:val="a"/>
    <w:rsid w:val="000250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0250E7"/>
  </w:style>
  <w:style w:type="character" w:styleId="a3">
    <w:name w:val="Hyperlink"/>
    <w:basedOn w:val="a0"/>
    <w:uiPriority w:val="99"/>
    <w:semiHidden/>
    <w:unhideWhenUsed/>
    <w:rsid w:val="000250E7"/>
    <w:rPr>
      <w:color w:val="0000FF"/>
      <w:u w:val="single"/>
    </w:rPr>
  </w:style>
  <w:style w:type="character" w:customStyle="1" w:styleId="rvts11">
    <w:name w:val="rvts11"/>
    <w:basedOn w:val="a0"/>
    <w:rsid w:val="000250E7"/>
  </w:style>
  <w:style w:type="character" w:customStyle="1" w:styleId="rvts23">
    <w:name w:val="rvts23"/>
    <w:basedOn w:val="a0"/>
    <w:rsid w:val="00F85994"/>
  </w:style>
  <w:style w:type="character" w:customStyle="1" w:styleId="rvts9">
    <w:name w:val="rvts9"/>
    <w:basedOn w:val="a0"/>
    <w:rsid w:val="00F85994"/>
  </w:style>
</w:styles>
</file>

<file path=word/webSettings.xml><?xml version="1.0" encoding="utf-8"?>
<w:webSettings xmlns:r="http://schemas.openxmlformats.org/officeDocument/2006/relationships" xmlns:w="http://schemas.openxmlformats.org/wordprocessingml/2006/main">
  <w:divs>
    <w:div w:id="22919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5203-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75-12" TargetMode="External"/><Relationship Id="rId5" Type="http://schemas.openxmlformats.org/officeDocument/2006/relationships/hyperlink" Target="https://zakon.rada.gov.ua/laws/show/588-2013-%D0%BF" TargetMode="External"/><Relationship Id="rId4" Type="http://schemas.openxmlformats.org/officeDocument/2006/relationships/hyperlink" Target="https://zakon.rada.gov.ua/laws/show/588-2013-%D0%B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1913</Words>
  <Characters>10908</Characters>
  <Application>Microsoft Office Word</Application>
  <DocSecurity>0</DocSecurity>
  <Lines>90</Lines>
  <Paragraphs>25</Paragraphs>
  <ScaleCrop>false</ScaleCrop>
  <Company>CtrlSoft</Company>
  <LinksUpToDate>false</LinksUpToDate>
  <CharactersWithSpaces>12796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51Voloshina</dc:creator>
  <cp:lastModifiedBy>51Voloshina</cp:lastModifiedBy>
  <cp:revision>2</cp:revision>
  <dcterms:created xsi:type="dcterms:W3CDTF">2024-06-17T06:41:00Z</dcterms:created>
  <dcterms:modified xsi:type="dcterms:W3CDTF">2024-06-17T06:41:00Z</dcterms:modified>
</cp:coreProperties>
</file>